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61" w:rsidRDefault="00461D61" w:rsidP="00062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174BA" wp14:editId="1AF7D83E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61" w:rsidRDefault="00461D61" w:rsidP="00461D61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461D61" w:rsidRDefault="00461D61" w:rsidP="00461D6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7FBE" wp14:editId="06445EDD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61" w:rsidRPr="003E16CC" w:rsidRDefault="00461D61" w:rsidP="00461D6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461D61" w:rsidRPr="003E16CC" w:rsidRDefault="00461D61" w:rsidP="00461D6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71C89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и</w:t>
      </w:r>
      <w:r w:rsidRPr="00371C89">
        <w:rPr>
          <w:rFonts w:ascii="Times New Roman" w:hAnsi="Times New Roman"/>
          <w:sz w:val="28"/>
          <w:szCs w:val="28"/>
        </w:rPr>
        <w:t xml:space="preserve"> 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06205E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06205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6205E">
        <w:rPr>
          <w:rFonts w:ascii="Times New Roman" w:hAnsi="Times New Roman"/>
          <w:sz w:val="28"/>
          <w:szCs w:val="28"/>
        </w:rPr>
        <w:t>покрытие расходов по оплате коммунальных платежей муниципальными учреждениями</w:t>
      </w:r>
    </w:p>
    <w:p w:rsidR="0006205E" w:rsidRPr="00D31695" w:rsidRDefault="0006205E" w:rsidP="0006205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D61" w:rsidRPr="0006205E" w:rsidRDefault="00461D61" w:rsidP="00461D6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205E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Правилами предоставления и методики распределения в 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06205E" w:rsidRPr="0006205E">
        <w:rPr>
          <w:rFonts w:ascii="Times New Roman" w:hAnsi="Times New Roman"/>
          <w:b w:val="0"/>
          <w:color w:val="000000"/>
          <w:sz w:val="28"/>
          <w:szCs w:val="28"/>
        </w:rPr>
        <w:t xml:space="preserve">на </w:t>
      </w:r>
      <w:r w:rsidR="0006205E" w:rsidRPr="0006205E">
        <w:rPr>
          <w:rFonts w:ascii="Times New Roman" w:hAnsi="Times New Roman"/>
          <w:b w:val="0"/>
          <w:sz w:val="28"/>
          <w:szCs w:val="28"/>
        </w:rPr>
        <w:t>покрытие расходов по оплате коммунальных платежей муниципальными учреждениями</w:t>
      </w:r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утвержденными постановлением правительства Еврейской автономной области от ______ № ____</w:t>
      </w:r>
      <w:proofErr w:type="gramStart"/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_-</w:t>
      </w:r>
      <w:proofErr w:type="spellStart"/>
      <w:proofErr w:type="gramEnd"/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пп</w:t>
      </w:r>
      <w:proofErr w:type="spellEnd"/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Правил предоставления и методики распределения в 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06205E" w:rsidRPr="0006205E">
        <w:rPr>
          <w:rFonts w:ascii="Times New Roman" w:hAnsi="Times New Roman"/>
          <w:b w:val="0"/>
          <w:color w:val="000000"/>
          <w:sz w:val="28"/>
          <w:szCs w:val="28"/>
        </w:rPr>
        <w:t xml:space="preserve">на </w:t>
      </w:r>
      <w:r w:rsidR="0006205E" w:rsidRPr="0006205E">
        <w:rPr>
          <w:rFonts w:ascii="Times New Roman" w:hAnsi="Times New Roman"/>
          <w:b w:val="0"/>
          <w:sz w:val="28"/>
          <w:szCs w:val="28"/>
        </w:rPr>
        <w:t>покрытие расходов по оплате коммунальных платежей муниципальными учреждениями</w:t>
      </w:r>
      <w:r w:rsidRPr="00062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06205E">
        <w:rPr>
          <w:rFonts w:ascii="Times New Roman" w:hAnsi="Times New Roman"/>
          <w:b w:val="0"/>
          <w:sz w:val="28"/>
          <w:szCs w:val="28"/>
        </w:rPr>
        <w:t>:</w:t>
      </w:r>
    </w:p>
    <w:p w:rsidR="00461D61" w:rsidRPr="0006205E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05E">
        <w:rPr>
          <w:rFonts w:ascii="Times New Roman" w:hAnsi="Times New Roman"/>
          <w:sz w:val="28"/>
          <w:szCs w:val="28"/>
        </w:rPr>
        <w:tab/>
        <w:t xml:space="preserve">1. Утвердить прилагаемое распределение </w:t>
      </w:r>
      <w:r w:rsidRPr="0006205E">
        <w:rPr>
          <w:rFonts w:ascii="Times New Roman" w:hAnsi="Times New Roman"/>
          <w:color w:val="000000"/>
          <w:sz w:val="28"/>
          <w:szCs w:val="28"/>
        </w:rPr>
        <w:t>в 2022 году иного межбюджетного трансферта</w:t>
      </w:r>
      <w:r w:rsidRPr="0006205E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06205E" w:rsidRPr="0006205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6205E" w:rsidRPr="0006205E">
        <w:rPr>
          <w:rFonts w:ascii="Times New Roman" w:hAnsi="Times New Roman"/>
          <w:sz w:val="28"/>
          <w:szCs w:val="28"/>
        </w:rPr>
        <w:t>покрытие расходов по оплате коммунальных платежей муниципальными учреждениями</w:t>
      </w:r>
      <w:r w:rsidRPr="0006205E">
        <w:rPr>
          <w:rFonts w:ascii="Times New Roman" w:hAnsi="Times New Roman"/>
          <w:sz w:val="28"/>
          <w:szCs w:val="28"/>
        </w:rPr>
        <w:t xml:space="preserve">. </w:t>
      </w:r>
    </w:p>
    <w:p w:rsidR="00461D61" w:rsidRPr="00FC1180" w:rsidRDefault="00461D61" w:rsidP="00461D6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461D61" w:rsidRPr="003E16CC" w:rsidTr="002B027A">
        <w:tc>
          <w:tcPr>
            <w:tcW w:w="4075" w:type="dxa"/>
            <w:shd w:val="clear" w:color="auto" w:fill="auto"/>
          </w:tcPr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Pr="003E16CC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461D61" w:rsidRPr="003E16CC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1D61" w:rsidRPr="003E16CC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461D61" w:rsidRPr="003E16CC" w:rsidRDefault="00461D61" w:rsidP="002B02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1D61" w:rsidRDefault="00461D61" w:rsidP="00461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1D61" w:rsidRDefault="00461D61" w:rsidP="00461D61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2022 </w:t>
      </w:r>
      <w:r w:rsidRPr="00FC1180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</w:p>
    <w:p w:rsidR="00461D61" w:rsidRDefault="00461D61" w:rsidP="00461D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 xml:space="preserve"> иного межбюджетного трансферта</w:t>
      </w:r>
      <w:r w:rsidRPr="00FC1180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бюджета бюджетам муниципальных образований Еврейской автономной области </w:t>
      </w:r>
      <w:r w:rsidR="0006205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6205E">
        <w:rPr>
          <w:rFonts w:ascii="Times New Roman" w:hAnsi="Times New Roman"/>
          <w:sz w:val="28"/>
          <w:szCs w:val="28"/>
        </w:rPr>
        <w:t>покрытие расходов по оплате коммунальных платежей муниципальными учреждениями</w:t>
      </w:r>
    </w:p>
    <w:p w:rsidR="00461D61" w:rsidRPr="00D31695" w:rsidRDefault="00461D61" w:rsidP="00461D6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78"/>
        <w:gridCol w:w="2551"/>
      </w:tblGrid>
      <w:tr w:rsidR="00461D61" w:rsidRPr="00962030" w:rsidTr="002364AC">
        <w:trPr>
          <w:trHeight w:val="892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Default="00461D61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461D61" w:rsidRPr="00962030" w:rsidRDefault="00461D61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Default="00461D61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61D61" w:rsidRPr="00962030" w:rsidRDefault="00461D61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461D61" w:rsidRPr="00962030" w:rsidTr="002364AC">
        <w:trPr>
          <w:trHeight w:val="3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902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266,0</w:t>
            </w:r>
          </w:p>
        </w:tc>
      </w:tr>
      <w:tr w:rsidR="00461D61" w:rsidRPr="00962030" w:rsidTr="002364AC">
        <w:trPr>
          <w:trHeight w:val="34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C902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934,9</w:t>
            </w:r>
          </w:p>
        </w:tc>
      </w:tr>
      <w:tr w:rsidR="007F4CB5" w:rsidRPr="00962030" w:rsidTr="002364AC">
        <w:trPr>
          <w:trHeight w:val="361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C6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Валдгеймское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7F4CB5" w:rsidRPr="00962030" w:rsidTr="002364AC">
        <w:trPr>
          <w:trHeight w:val="409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бовское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847,9</w:t>
            </w:r>
          </w:p>
        </w:tc>
      </w:tr>
      <w:tr w:rsidR="00461D61" w:rsidRPr="00962030" w:rsidTr="002364AC">
        <w:trPr>
          <w:trHeight w:val="26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0A59BB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32 094,0</w:t>
            </w:r>
          </w:p>
        </w:tc>
      </w:tr>
      <w:tr w:rsidR="007F4CB5" w:rsidRPr="00962030" w:rsidTr="002364AC">
        <w:trPr>
          <w:trHeight w:val="267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857,1</w:t>
            </w:r>
          </w:p>
        </w:tc>
      </w:tr>
      <w:tr w:rsidR="007F4CB5" w:rsidRPr="00962030" w:rsidTr="002364AC">
        <w:trPr>
          <w:trHeight w:val="202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Лазаревское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F4CB5" w:rsidRPr="00962030" w:rsidTr="002364AC">
        <w:trPr>
          <w:trHeight w:val="277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Дежневское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6587E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257,4</w:t>
            </w:r>
          </w:p>
        </w:tc>
      </w:tr>
      <w:tr w:rsidR="00461D61" w:rsidRPr="00962030" w:rsidTr="002364AC">
        <w:trPr>
          <w:trHeight w:val="19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307DA8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34 950,0 </w:t>
            </w:r>
          </w:p>
        </w:tc>
      </w:tr>
      <w:tr w:rsidR="007F4CB5" w:rsidRPr="00962030" w:rsidTr="002364AC">
        <w:trPr>
          <w:trHeight w:val="273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902E6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Пашковское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4183F" w:rsidRDefault="00C902E6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112,3</w:t>
            </w:r>
          </w:p>
        </w:tc>
      </w:tr>
      <w:tr w:rsidR="007F4CB5" w:rsidRPr="00962030" w:rsidTr="002364AC">
        <w:trPr>
          <w:trHeight w:val="20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902E6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Кульдурское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4183F" w:rsidRDefault="00C902E6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894,4</w:t>
            </w:r>
          </w:p>
        </w:tc>
      </w:tr>
      <w:tr w:rsidR="007F4CB5" w:rsidRPr="00962030" w:rsidTr="002364AC">
        <w:trPr>
          <w:trHeight w:val="15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902E6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Бирское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4183F" w:rsidRDefault="00C902E6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2 619,5</w:t>
            </w:r>
          </w:p>
        </w:tc>
      </w:tr>
      <w:tr w:rsidR="007F4CB5" w:rsidRPr="00962030" w:rsidTr="002364AC">
        <w:trPr>
          <w:trHeight w:val="2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902E6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Бираканское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4183F" w:rsidRDefault="00C902E6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7F4CB5" w:rsidRPr="00962030" w:rsidTr="002364AC">
        <w:trPr>
          <w:trHeight w:val="19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C902E6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Теплоозерское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4183F" w:rsidRDefault="00C902E6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2 645,4</w:t>
            </w:r>
          </w:p>
        </w:tc>
      </w:tr>
      <w:tr w:rsidR="00461D61" w:rsidRPr="00962030" w:rsidTr="002364AC">
        <w:trPr>
          <w:trHeight w:val="62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4183F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31 373,1</w:t>
            </w:r>
          </w:p>
        </w:tc>
      </w:tr>
      <w:tr w:rsidR="007F4CB5" w:rsidRPr="00962030" w:rsidTr="002364AC">
        <w:trPr>
          <w:trHeight w:val="1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Амурзетское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307DA8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539,2</w:t>
            </w:r>
          </w:p>
        </w:tc>
      </w:tr>
      <w:tr w:rsidR="007F4CB5" w:rsidRPr="00962030" w:rsidTr="002364AC">
        <w:trPr>
          <w:trHeight w:val="2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307DA8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1 015,4</w:t>
            </w:r>
          </w:p>
        </w:tc>
      </w:tr>
      <w:tr w:rsidR="007F4CB5" w:rsidRPr="00962030" w:rsidTr="002364AC">
        <w:trPr>
          <w:trHeight w:val="289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Нагибовское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307DA8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A5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669,9</w:t>
            </w:r>
          </w:p>
        </w:tc>
      </w:tr>
      <w:tr w:rsidR="00461D61" w:rsidRPr="00962030" w:rsidTr="002364AC">
        <w:trPr>
          <w:trHeight w:val="13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9 916,7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Николаевское городское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363,4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Волочаевское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525,5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Волочаевское городское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4 850,5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Приамурское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1 305,9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Смидовичское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2 466,7</w:t>
            </w:r>
          </w:p>
        </w:tc>
      </w:tr>
      <w:tr w:rsidR="007F4CB5" w:rsidRPr="00962030" w:rsidTr="002364A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7F4CB5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Камышовское сельское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CB5" w:rsidRPr="004059DC" w:rsidRDefault="002364AC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308,9</w:t>
            </w:r>
          </w:p>
        </w:tc>
      </w:tr>
      <w:tr w:rsidR="00461D61" w:rsidRPr="00962030" w:rsidTr="002364AC">
        <w:trPr>
          <w:trHeight w:val="3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61" w:rsidRPr="004059DC" w:rsidRDefault="00461D61" w:rsidP="002B0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D61" w:rsidRPr="004059DC" w:rsidRDefault="000A59BB" w:rsidP="002B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149 315,2</w:t>
            </w:r>
          </w:p>
        </w:tc>
      </w:tr>
    </w:tbl>
    <w:p w:rsidR="00D31695" w:rsidRPr="00461D61" w:rsidRDefault="00D31695" w:rsidP="00461D61"/>
    <w:sectPr w:rsidR="00D31695" w:rsidRPr="00461D61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45005"/>
    <w:rsid w:val="0006205E"/>
    <w:rsid w:val="00077A21"/>
    <w:rsid w:val="000817BB"/>
    <w:rsid w:val="0008312E"/>
    <w:rsid w:val="000A59BB"/>
    <w:rsid w:val="000C1BA3"/>
    <w:rsid w:val="00184BC7"/>
    <w:rsid w:val="001B3718"/>
    <w:rsid w:val="001F2B97"/>
    <w:rsid w:val="001F7BE5"/>
    <w:rsid w:val="0022142F"/>
    <w:rsid w:val="002364AC"/>
    <w:rsid w:val="0024484E"/>
    <w:rsid w:val="0026752B"/>
    <w:rsid w:val="0029227E"/>
    <w:rsid w:val="002A4A48"/>
    <w:rsid w:val="00307DA8"/>
    <w:rsid w:val="00331017"/>
    <w:rsid w:val="00345AF8"/>
    <w:rsid w:val="00371C89"/>
    <w:rsid w:val="003B7267"/>
    <w:rsid w:val="003E002F"/>
    <w:rsid w:val="003E16CC"/>
    <w:rsid w:val="004059DC"/>
    <w:rsid w:val="0044183F"/>
    <w:rsid w:val="00461D61"/>
    <w:rsid w:val="00495699"/>
    <w:rsid w:val="004B5692"/>
    <w:rsid w:val="004B681A"/>
    <w:rsid w:val="004B798B"/>
    <w:rsid w:val="0054611F"/>
    <w:rsid w:val="0054663B"/>
    <w:rsid w:val="00581049"/>
    <w:rsid w:val="005B02AD"/>
    <w:rsid w:val="005D2E32"/>
    <w:rsid w:val="005E5F51"/>
    <w:rsid w:val="00637457"/>
    <w:rsid w:val="00693A99"/>
    <w:rsid w:val="006A46DD"/>
    <w:rsid w:val="006E6AE3"/>
    <w:rsid w:val="00712411"/>
    <w:rsid w:val="00733083"/>
    <w:rsid w:val="00780984"/>
    <w:rsid w:val="007F4CB5"/>
    <w:rsid w:val="00804B0E"/>
    <w:rsid w:val="0080579C"/>
    <w:rsid w:val="00806DD1"/>
    <w:rsid w:val="00840712"/>
    <w:rsid w:val="0087006A"/>
    <w:rsid w:val="0087034F"/>
    <w:rsid w:val="008A42B2"/>
    <w:rsid w:val="009050D5"/>
    <w:rsid w:val="00927D16"/>
    <w:rsid w:val="00962030"/>
    <w:rsid w:val="009B5484"/>
    <w:rsid w:val="009B6D95"/>
    <w:rsid w:val="00A17661"/>
    <w:rsid w:val="00A25D76"/>
    <w:rsid w:val="00A57FA2"/>
    <w:rsid w:val="00AA32A9"/>
    <w:rsid w:val="00AC20B4"/>
    <w:rsid w:val="00AC6E5B"/>
    <w:rsid w:val="00B356EF"/>
    <w:rsid w:val="00B90B9B"/>
    <w:rsid w:val="00BA182D"/>
    <w:rsid w:val="00C14FB5"/>
    <w:rsid w:val="00C30DB2"/>
    <w:rsid w:val="00C508E2"/>
    <w:rsid w:val="00C569D8"/>
    <w:rsid w:val="00C56EC8"/>
    <w:rsid w:val="00C6587E"/>
    <w:rsid w:val="00C902E6"/>
    <w:rsid w:val="00CA0BD9"/>
    <w:rsid w:val="00CD4669"/>
    <w:rsid w:val="00CF25A8"/>
    <w:rsid w:val="00D01136"/>
    <w:rsid w:val="00D058C0"/>
    <w:rsid w:val="00D11001"/>
    <w:rsid w:val="00D31695"/>
    <w:rsid w:val="00D44944"/>
    <w:rsid w:val="00D90035"/>
    <w:rsid w:val="00DF4A7B"/>
    <w:rsid w:val="00E00B19"/>
    <w:rsid w:val="00E14058"/>
    <w:rsid w:val="00E602B6"/>
    <w:rsid w:val="00E61F97"/>
    <w:rsid w:val="00E63C35"/>
    <w:rsid w:val="00E66F75"/>
    <w:rsid w:val="00E7491A"/>
    <w:rsid w:val="00F05115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10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9855-FCE3-4C60-B172-0C3E2A16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65</cp:revision>
  <cp:lastPrinted>2022-05-27T04:06:00Z</cp:lastPrinted>
  <dcterms:created xsi:type="dcterms:W3CDTF">2020-04-10T04:44:00Z</dcterms:created>
  <dcterms:modified xsi:type="dcterms:W3CDTF">2022-12-16T06:25:00Z</dcterms:modified>
</cp:coreProperties>
</file>